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A20" w:rsidRDefault="00727A20" w:rsidP="00727A20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</w:p>
    <w:p w:rsidR="00727A20" w:rsidRDefault="00727A20" w:rsidP="00727A20">
      <w:pPr>
        <w:spacing w:after="0"/>
      </w:pPr>
    </w:p>
    <w:p w:rsidR="00727A20" w:rsidRDefault="00727A20" w:rsidP="00727A20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27A20" w:rsidRDefault="00727A20" w:rsidP="00727A20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ქ. წალენჯიხა, სალიას ქ N5</w:t>
            </w: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 განყოფილება</w:t>
            </w:r>
          </w:p>
        </w:tc>
      </w:tr>
      <w:tr w:rsidR="00727A20" w:rsidTr="00727A20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727A20" w:rsidTr="00727A20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 w:rsidP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აპარატის საორგანიზაციო განყოფილების წამყ. სპეციალისტი საქმისწარმოების  საკითხებში</w:t>
            </w:r>
          </w:p>
        </w:tc>
      </w:tr>
      <w:tr w:rsidR="00727A20" w:rsidTr="00727A20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27A20" w:rsidTr="00727A20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A20" w:rsidRPr="00642C84" w:rsidRDefault="00642C8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მეორე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A20" w:rsidRPr="00642C84" w:rsidRDefault="00642C84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27A20" w:rsidRPr="00811795" w:rsidRDefault="00727A20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642C84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pict>
                <v:line id="Line 2" o:spid="_x0000_s1026" style="position:absolute;z-index:251657216;visibility:visible;mso-position-horizontal-relative:text;mso-position-vertical-relative:text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</w:pict>
            </w:r>
            <w:r>
              <w:pict>
                <v:line id="Line 3" o:spid="_x0000_s1027" style="position:absolute;z-index:251658240;visibility:visible;mso-position-horizontal-relative:text;mso-position-vertical-relative:text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</w:pict>
            </w:r>
            <w:r w:rsidR="00727A20"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 w:rsidR="00727A20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საორგანიზაციო განყოფილება </w:t>
            </w: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</w:rPr>
            </w:pPr>
          </w:p>
        </w:tc>
      </w:tr>
      <w:tr w:rsidR="00727A20" w:rsidTr="00727A20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განყოფილების ერთერთი სპეციალისტი</w:t>
            </w:r>
          </w:p>
        </w:tc>
      </w:tr>
      <w:tr w:rsidR="00727A20" w:rsidTr="00727A20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727A20" w:rsidTr="00727A20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727A20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BF200A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750</w:t>
            </w:r>
          </w:p>
        </w:tc>
      </w:tr>
    </w:tbl>
    <w:p w:rsidR="00727A20" w:rsidRDefault="00727A20" w:rsidP="00727A20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727A20" w:rsidRDefault="00727A20" w:rsidP="00727A20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2"/>
        <w:gridCol w:w="2483"/>
      </w:tblGrid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lastRenderedPageBreak/>
              <w:t>თანამდებობის მიზანი</w:t>
            </w: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Pr="00BF200A" w:rsidRDefault="00212A1D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ფუნქციები (მოვალეობები) 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>პრიორიტეტულობა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3F0F59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</w:rPr>
            </w:pPr>
            <w:r w:rsidRPr="00805D3C">
              <w:rPr>
                <w:rFonts w:ascii="Sylfaen" w:hAnsi="Sylfaen" w:cs="Sylfaen"/>
                <w:lang w:val="ka-GE"/>
              </w:rPr>
              <w:t>შემოსული</w:t>
            </w:r>
            <w:r w:rsidRPr="00805D3C">
              <w:rPr>
                <w:rFonts w:ascii="Sylfaen" w:hAnsi="Sylfaen"/>
                <w:lang w:val="ka-GE"/>
              </w:rPr>
              <w:t xml:space="preserve"> </w:t>
            </w:r>
            <w:r w:rsidRPr="00805D3C">
              <w:rPr>
                <w:rFonts w:ascii="Sylfaen" w:hAnsi="Sylfaen" w:cs="Sylfaen"/>
                <w:lang w:val="ka-GE"/>
              </w:rPr>
              <w:t>განცხადებების</w:t>
            </w:r>
            <w:r w:rsidRPr="00805D3C">
              <w:rPr>
                <w:rFonts w:ascii="Sylfaen" w:hAnsi="Sylfaen"/>
                <w:lang w:val="ka-GE"/>
              </w:rPr>
              <w:t xml:space="preserve"> და კორესპოდენციების მიღება დამუშავება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eastAsia="en-US"/>
              </w:rPr>
            </w:pPr>
          </w:p>
          <w:p w:rsidR="00727A20" w:rsidRDefault="00727A20">
            <w:pPr>
              <w:ind w:firstLine="720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მაღალი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3F0F59" w:rsidP="003F0F59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მოქალაქეთა მისაღებში მოქალაქეთა კონსულტირება საკრებულოს კომპეტენციას მიკუთვნებულ საკითხებში.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 xml:space="preserve">             მაღალი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3F0F59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 w:rsidRPr="006069A1"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 xml:space="preserve">ფოსტით, ვებგვერდის მეშვეობითა და ელექტრონული </w:t>
            </w:r>
            <w:r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>ფ</w:t>
            </w:r>
            <w:r w:rsidRPr="006069A1"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>ოსტით შემოსული განცხადებებისა და სხვა კორესპოდენციების რეგისტრაცია, აღრიცხვა და ინდექსაცია, ადრესატებსა და შემსრულებლებისათვის დანაწილება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3F0F59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 w:rsidRPr="006069A1"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 xml:space="preserve">მოქალაქეთა კონსულტირება  </w:t>
            </w:r>
            <w:r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>მიმ</w:t>
            </w:r>
            <w:r w:rsidRPr="006069A1"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>დინარე საქმეების სტატუსთან დაკავშირებით.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3F0F59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eastAsia="Arial Unicode MS" w:hAnsi="Sylfaen" w:cs="Arial Unicode MS"/>
                <w:color w:val="000000" w:themeColor="text1"/>
                <w:sz w:val="24"/>
                <w:szCs w:val="24"/>
                <w:u w:color="000000"/>
                <w:bdr w:val="nil"/>
                <w:lang w:val="ka-GE"/>
              </w:rPr>
              <w:t>ინიცირების წესით შემოსულ საკითხთა რეგისტრაცია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414AE9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მაღალი</w:t>
            </w: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727A20" w:rsidRDefault="00727A20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 w:eastAsia="en-US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 შესრულებისას ურთიერთობა აქვს (შიდა და გარე)</w:t>
            </w: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Pr="00414AE9" w:rsidRDefault="00727A20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</w:pP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გარე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: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მუნიციპალიტეტის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გამგეობა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,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არასამეწარმეო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(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არაკომერციული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)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იურიდიული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პირები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,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არასამთავრობო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ორგანიზაციები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და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 w:rsidR="00414AE9"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მოქალაქეები</w:t>
            </w:r>
          </w:p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შიდა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:  </w:t>
            </w:r>
            <w:r w:rsidR="00414AE9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 w:rsidR="00414AE9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 w:rsidR="00414AE9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თავმჯდომარე</w:t>
            </w:r>
            <w:r w:rsidR="00414AE9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კომისიები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ფრაქციები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აპარატის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 xml:space="preserve"> </w:t>
            </w:r>
            <w:r w:rsidR="00917695"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 w:eastAsia="en-US"/>
              </w:rPr>
              <w:t>თანამშრომლებ</w:t>
            </w:r>
            <w:r w:rsidR="00917695"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ი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 w:eastAsia="en-US"/>
              </w:rPr>
              <w:t>.</w:t>
            </w: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 w:eastAsia="en-US"/>
              </w:rPr>
              <w:t xml:space="preserve">ანგარიშგება </w:t>
            </w:r>
          </w:p>
        </w:tc>
      </w:tr>
      <w:tr w:rsidR="00727A20" w:rsidTr="000B0843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 w:eastAsia="en-US"/>
              </w:rPr>
            </w:pPr>
            <w:r>
              <w:rPr>
                <w:rFonts w:ascii="Sylfaen" w:hAnsi="Sylfaen"/>
                <w:sz w:val="22"/>
                <w:szCs w:val="22"/>
                <w:lang w:val="ka-GE" w:eastAsia="en-US"/>
              </w:rPr>
              <w:t>წელიწადში ერთხელ წერილობით საორგანიზაციო განყოფილების უფროსის წინაშე</w:t>
            </w:r>
          </w:p>
          <w:p w:rsidR="00727A20" w:rsidRDefault="00727A20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 w:eastAsia="en-US"/>
              </w:rPr>
            </w:pPr>
          </w:p>
        </w:tc>
      </w:tr>
    </w:tbl>
    <w:p w:rsidR="00727A20" w:rsidRDefault="00727A20" w:rsidP="00727A20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727A20" w:rsidRDefault="00727A20" w:rsidP="00727A20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727A20" w:rsidTr="00727A20">
        <w:trPr>
          <w:trHeight w:val="271"/>
        </w:trPr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727A20" w:rsidTr="00727A2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727A20" w:rsidTr="00727A20">
        <w:trPr>
          <w:trHeight w:val="33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lang w:val="ka-GE"/>
              </w:rPr>
              <w:t xml:space="preserve"> : </w:t>
            </w:r>
          </w:p>
        </w:tc>
      </w:tr>
      <w:tr w:rsidR="00727A20" w:rsidTr="00727A20">
        <w:trPr>
          <w:trHeight w:val="66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811795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727A20" w:rsidTr="00727A20">
        <w:trPr>
          <w:trHeight w:val="357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727A20" w:rsidTr="00727A20">
        <w:trPr>
          <w:trHeight w:val="634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811795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4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72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727A20" w:rsidTr="00727A2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727A20" w:rsidTr="00727A20">
        <w:trPr>
          <w:trHeight w:val="276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727A20" w:rsidTr="00727A20">
        <w:trPr>
          <w:trHeight w:val="119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11795" w:rsidRPr="001D40F8" w:rsidRDefault="00811795" w:rsidP="00811795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კონსტიტუცია</w:t>
            </w:r>
          </w:p>
          <w:p w:rsidR="00811795" w:rsidRDefault="00811795" w:rsidP="00811795">
            <w:pPr>
              <w:rPr>
                <w:rFonts w:ascii="Sylfaen" w:hAnsi="Sylfaen" w:cs="Sylfaen"/>
                <w:lang w:val="ka-GE"/>
              </w:rPr>
            </w:pPr>
          </w:p>
          <w:p w:rsidR="00811795" w:rsidRPr="001D40F8" w:rsidRDefault="00811795" w:rsidP="00811795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 xml:space="preserve">2. </w:t>
            </w:r>
            <w:r w:rsidRPr="001D40F8">
              <w:rPr>
                <w:rFonts w:ascii="Sylfaen" w:hAnsi="Sylfaen" w:cs="Sylfaen"/>
                <w:lang w:val="ka-GE"/>
              </w:rPr>
              <w:t>საქართველოს კანონი „საჯარო სამსახურის შესახებ“</w:t>
            </w:r>
          </w:p>
          <w:p w:rsidR="00811795" w:rsidRDefault="00811795" w:rsidP="00811795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727A20" w:rsidRPr="00811795" w:rsidRDefault="00811795" w:rsidP="00811795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 w:rsidRPr="00811795"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Pr="00811795" w:rsidRDefault="00727A20" w:rsidP="00811795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391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727A20" w:rsidTr="00727A20">
        <w:trPr>
          <w:trHeight w:val="95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  <w:p w:rsidR="00727A20" w:rsidRDefault="00727A20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----------</w:t>
            </w:r>
          </w:p>
          <w:p w:rsidR="00727A20" w:rsidRDefault="00727A20">
            <w:pPr>
              <w:pStyle w:val="ListParagraph"/>
              <w:spacing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spacing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4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727A20" w:rsidTr="00727A20">
        <w:trPr>
          <w:trHeight w:val="94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 w:rsidP="00495F6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Word</w:t>
            </w:r>
            <w:r w:rsidR="00811795">
              <w:rPr>
                <w:rFonts w:ascii="Sylfaen" w:hAnsi="Sylfaen"/>
                <w:lang w:val="ka-GE"/>
              </w:rPr>
              <w:t>-კარგი</w:t>
            </w:r>
          </w:p>
          <w:p w:rsidR="00727A20" w:rsidRDefault="00727A20" w:rsidP="00495F6C">
            <w:pPr>
              <w:pStyle w:val="ListParagraph"/>
              <w:numPr>
                <w:ilvl w:val="0"/>
                <w:numId w:val="3"/>
              </w:numPr>
              <w:spacing w:line="240" w:lineRule="auto"/>
              <w:rPr>
                <w:rFonts w:ascii="Sylfaen" w:hAnsi="Sylfaen"/>
              </w:rPr>
            </w:pPr>
            <w:r>
              <w:rPr>
                <w:rFonts w:ascii="Sylfaen" w:hAnsi="Sylfaen"/>
              </w:rPr>
              <w:t>Microsoft Office Excel</w:t>
            </w:r>
            <w:r w:rsidR="00811795">
              <w:rPr>
                <w:rFonts w:ascii="Sylfaen" w:hAnsi="Sylfaen"/>
                <w:lang w:val="ka-GE"/>
              </w:rPr>
              <w:t>-კარგი</w:t>
            </w:r>
          </w:p>
          <w:p w:rsidR="00727A20" w:rsidRDefault="00727A20" w:rsidP="00495F6C">
            <w:pPr>
              <w:pStyle w:val="ListParagraph"/>
              <w:numPr>
                <w:ilvl w:val="0"/>
                <w:numId w:val="3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</w:rPr>
              <w:t>Internet Explorer</w:t>
            </w:r>
            <w:r w:rsidR="00811795"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5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727A20" w:rsidTr="00727A20">
        <w:trPr>
          <w:trHeight w:val="1002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  <w:p w:rsidR="00727A20" w:rsidRDefault="00727A2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876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სხვა</w:t>
            </w:r>
          </w:p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727A20" w:rsidRDefault="00727A20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727A20" w:rsidTr="00727A20"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727A20" w:rsidTr="00727A20">
        <w:trPr>
          <w:trHeight w:val="414"/>
        </w:trPr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727A20" w:rsidTr="00727A20">
        <w:trPr>
          <w:trHeight w:val="979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Pr="00414AE9" w:rsidRDefault="00727A20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</w:p>
          <w:p w:rsidR="00727A20" w:rsidRDefault="00727A20">
            <w:pPr>
              <w:pStyle w:val="ListParagraph"/>
              <w:spacing w:before="120" w:line="240" w:lineRule="auto"/>
              <w:ind w:left="54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610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727A20" w:rsidTr="00727A20">
        <w:trPr>
          <w:trHeight w:val="818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 w:rsidP="00811795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rPr>
          <w:trHeight w:val="405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</w:rPr>
              <w:t>: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</w:rPr>
              <w:t>:</w:t>
            </w:r>
          </w:p>
        </w:tc>
      </w:tr>
      <w:tr w:rsidR="00727A20" w:rsidTr="00727A20">
        <w:trPr>
          <w:trHeight w:val="783"/>
        </w:trPr>
        <w:tc>
          <w:tcPr>
            <w:tcW w:w="48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27A20" w:rsidRDefault="00727A20">
            <w:pPr>
              <w:tabs>
                <w:tab w:val="left" w:pos="4536"/>
              </w:tabs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----</w:t>
            </w:r>
          </w:p>
        </w:tc>
        <w:tc>
          <w:tcPr>
            <w:tcW w:w="50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27A20" w:rsidRDefault="00727A20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727A20" w:rsidTr="00727A2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727A20" w:rsidRDefault="00727A20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727A20" w:rsidTr="00727A20">
        <w:tc>
          <w:tcPr>
            <w:tcW w:w="988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414AE9" w:rsidRPr="00414AE9" w:rsidRDefault="00414AE9" w:rsidP="00414AE9">
            <w:pPr>
              <w:pStyle w:val="ListParagraph"/>
              <w:numPr>
                <w:ilvl w:val="0"/>
                <w:numId w:val="10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414AE9" w:rsidRPr="00F22384" w:rsidRDefault="00414AE9" w:rsidP="00414AE9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 w:rsidRPr="00F22384">
              <w:rPr>
                <w:rFonts w:ascii="Sylfaen" w:hAnsi="Sylfaen"/>
                <w:sz w:val="24"/>
                <w:szCs w:val="24"/>
                <w:lang w:val="ka-GE"/>
              </w:rPr>
              <w:t>მოქნილია და ადვილად ადაპტირდება ცვლილებებზე</w:t>
            </w:r>
          </w:p>
          <w:p w:rsidR="00727A20" w:rsidRDefault="00727A20" w:rsidP="00495F6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727A20" w:rsidRPr="00363371" w:rsidRDefault="00727A20" w:rsidP="00495F6C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  <w:p w:rsidR="00BB69C0" w:rsidRPr="00BB69C0" w:rsidRDefault="00727A20" w:rsidP="00BB69C0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</w:tc>
      </w:tr>
    </w:tbl>
    <w:p w:rsidR="00727A20" w:rsidRDefault="00727A20" w:rsidP="00727A20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727A20" w:rsidRDefault="009A0AA1" w:rsidP="00727A20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>
        <w:rPr>
          <w:rFonts w:ascii="Sylfaen" w:eastAsia="Calibri" w:hAnsi="Sylfaen"/>
          <w:bCs/>
          <w:sz w:val="22"/>
          <w:szCs w:val="22"/>
          <w:lang w:val="ka-GE"/>
        </w:rPr>
        <w:t xml:space="preserve">საკრებულოს აპარატის </w:t>
      </w:r>
      <w:r w:rsidR="00811795">
        <w:rPr>
          <w:rFonts w:ascii="Sylfaen" w:eastAsia="Calibri" w:hAnsi="Sylfaen"/>
          <w:bCs/>
          <w:sz w:val="22"/>
          <w:szCs w:val="22"/>
          <w:lang w:val="ka-GE"/>
        </w:rPr>
        <w:t>საორგანიზაციო განყოფილების უფროსი                     უ</w:t>
      </w:r>
      <w:r w:rsidR="00642C84">
        <w:rPr>
          <w:rFonts w:ascii="Sylfaen" w:eastAsia="Calibri" w:hAnsi="Sylfaen"/>
          <w:bCs/>
          <w:sz w:val="22"/>
          <w:szCs w:val="22"/>
          <w:lang w:val="ka-GE"/>
        </w:rPr>
        <w:t xml:space="preserve">ჩა  </w:t>
      </w:r>
      <w:r w:rsidR="00811795">
        <w:rPr>
          <w:rFonts w:ascii="Sylfaen" w:eastAsia="Calibri" w:hAnsi="Sylfaen"/>
          <w:bCs/>
          <w:sz w:val="22"/>
          <w:szCs w:val="22"/>
          <w:lang w:val="ka-GE"/>
        </w:rPr>
        <w:t>მოლაშხია</w:t>
      </w:r>
    </w:p>
    <w:p w:rsidR="002A7FBC" w:rsidRDefault="002A7FBC">
      <w:bookmarkStart w:id="0" w:name="_GoBack"/>
      <w:bookmarkEnd w:id="0"/>
    </w:p>
    <w:sectPr w:rsidR="002A7FBC" w:rsidSect="002A7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9A6"/>
    <w:multiLevelType w:val="hybridMultilevel"/>
    <w:tmpl w:val="6E008BA6"/>
    <w:lvl w:ilvl="0" w:tplc="1E02B5B4">
      <w:start w:val="1"/>
      <w:numFmt w:val="decimal"/>
      <w:lvlText w:val="%1."/>
      <w:lvlJc w:val="left"/>
      <w:pPr>
        <w:ind w:left="720" w:hanging="360"/>
      </w:pPr>
      <w:rPr>
        <w:rFonts w:cstheme="minorBidi"/>
        <w:b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31922"/>
    <w:multiLevelType w:val="hybridMultilevel"/>
    <w:tmpl w:val="A6FCAF96"/>
    <w:lvl w:ilvl="0" w:tplc="0419000F">
      <w:start w:val="1"/>
      <w:numFmt w:val="decimal"/>
      <w:lvlText w:val="%1."/>
      <w:lvlJc w:val="left"/>
      <w:pPr>
        <w:ind w:left="68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02"/>
        </w:tabs>
        <w:ind w:left="140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42"/>
        </w:tabs>
        <w:ind w:left="284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62"/>
        </w:tabs>
        <w:ind w:left="356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82"/>
        </w:tabs>
        <w:ind w:left="428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02"/>
        </w:tabs>
        <w:ind w:left="500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22"/>
        </w:tabs>
        <w:ind w:left="572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42"/>
        </w:tabs>
        <w:ind w:left="6442" w:hanging="360"/>
      </w:pPr>
    </w:lvl>
  </w:abstractNum>
  <w:abstractNum w:abstractNumId="2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27A20"/>
    <w:rsid w:val="000044C7"/>
    <w:rsid w:val="000B0843"/>
    <w:rsid w:val="00212A1D"/>
    <w:rsid w:val="002A7FBC"/>
    <w:rsid w:val="00363371"/>
    <w:rsid w:val="003F0F59"/>
    <w:rsid w:val="00414AE9"/>
    <w:rsid w:val="004B79DC"/>
    <w:rsid w:val="00600839"/>
    <w:rsid w:val="00633704"/>
    <w:rsid w:val="00642C84"/>
    <w:rsid w:val="00727A20"/>
    <w:rsid w:val="00811795"/>
    <w:rsid w:val="00917695"/>
    <w:rsid w:val="009A0AA1"/>
    <w:rsid w:val="00AD12AC"/>
    <w:rsid w:val="00BB69C0"/>
    <w:rsid w:val="00BE4053"/>
    <w:rsid w:val="00BF200A"/>
    <w:rsid w:val="00C17683"/>
    <w:rsid w:val="00D71EA2"/>
    <w:rsid w:val="00F7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DB4A1D3A-CC69-413D-8F77-3652160F8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A20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27A20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27A20"/>
    <w:rPr>
      <w:rFonts w:ascii="Geo_Times" w:eastAsia="Times New Roman" w:hAnsi="Geo_Times" w:cs="Times New Roman"/>
      <w:sz w:val="28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unhideWhenUsed/>
    <w:rsid w:val="00727A20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27A20"/>
    <w:rPr>
      <w:rFonts w:ascii="Arial" w:eastAsia="Calibri" w:hAnsi="Arial" w:cs="Times New Roman"/>
      <w:sz w:val="24"/>
      <w:lang w:val="en-US"/>
    </w:rPr>
  </w:style>
  <w:style w:type="paragraph" w:styleId="ListParagraph">
    <w:name w:val="List Paragraph"/>
    <w:basedOn w:val="Normal"/>
    <w:uiPriority w:val="34"/>
    <w:qFormat/>
    <w:rsid w:val="00727A20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485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SAKREBULO</dc:creator>
  <cp:lastModifiedBy>Khatia Makatsaria</cp:lastModifiedBy>
  <cp:revision>13</cp:revision>
  <dcterms:created xsi:type="dcterms:W3CDTF">2016-07-20T11:53:00Z</dcterms:created>
  <dcterms:modified xsi:type="dcterms:W3CDTF">2017-09-20T08:18:00Z</dcterms:modified>
</cp:coreProperties>
</file>