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91CB9" w:rsidRPr="00491CB9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C00000"/>
                <w:sz w:val="28"/>
                <w:szCs w:val="28"/>
              </w:rPr>
            </w:pP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სოციალურად</w:t>
            </w:r>
            <w:proofErr w:type="spellEnd"/>
            <w:r w:rsidRPr="00EE527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დაუცველი</w:t>
            </w:r>
            <w:proofErr w:type="spellEnd"/>
            <w:r w:rsidRPr="00EE527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მოსახლეობის</w:t>
            </w:r>
            <w:proofErr w:type="spellEnd"/>
            <w:r w:rsidRPr="00EE527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კვებითი</w:t>
            </w:r>
            <w:proofErr w:type="spellEnd"/>
            <w:r w:rsidRPr="00EE527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უზრუნველყოფის</w:t>
            </w:r>
            <w:proofErr w:type="spellEnd"/>
            <w:r w:rsidRPr="00EE5273">
              <w:rPr>
                <w:rStyle w:val="SubtleEmphasis"/>
                <w:b/>
                <w:color w:val="C00000"/>
                <w:sz w:val="28"/>
                <w:szCs w:val="28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C00000"/>
                <w:sz w:val="28"/>
                <w:szCs w:val="28"/>
              </w:rPr>
              <w:t>პროგრამა</w:t>
            </w:r>
            <w:proofErr w:type="spellEnd"/>
          </w:p>
          <w:p w:rsidR="00491CB9" w:rsidRPr="00491CB9" w:rsidRDefault="00491CB9" w:rsidP="00F67E3D">
            <w:pPr>
              <w:pBdr>
                <w:bottom w:val="single" w:sz="6" w:space="1" w:color="auto"/>
              </w:pBdr>
              <w:jc w:val="both"/>
              <w:rPr>
                <w:rStyle w:val="SubtleEmphasis"/>
              </w:rPr>
            </w:pPr>
          </w:p>
          <w:p w:rsidR="00491CB9" w:rsidRPr="00491CB9" w:rsidRDefault="00491CB9" w:rsidP="00F67E3D">
            <w:pPr>
              <w:jc w:val="both"/>
              <w:rPr>
                <w:rStyle w:val="SubtleEmphasis"/>
                <w:rFonts w:ascii="Sylfaen" w:hAnsi="Sylfaen"/>
                <w:lang w:val="ka-GE"/>
              </w:rPr>
            </w:pPr>
          </w:p>
        </w:tc>
      </w:tr>
    </w:tbl>
    <w:p w:rsidR="00491CB9" w:rsidRPr="00491CB9" w:rsidRDefault="00491CB9" w:rsidP="00491CB9">
      <w:pPr>
        <w:rPr>
          <w:rStyle w:val="SubtleEmphasi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491CB9" w:rsidRPr="00491CB9" w:rsidTr="00F67E3D">
        <w:trPr>
          <w:tblCellSpacing w:w="15" w:type="dxa"/>
        </w:trPr>
        <w:tc>
          <w:tcPr>
            <w:tcW w:w="0" w:type="auto"/>
            <w:vAlign w:val="center"/>
            <w:hideMark/>
          </w:tcPr>
          <w:p w:rsidR="00491CB9" w:rsidRPr="00491CB9" w:rsidRDefault="00491CB9" w:rsidP="00F67E3D">
            <w:pPr>
              <w:jc w:val="both"/>
              <w:rPr>
                <w:rStyle w:val="SubtleEmphasis"/>
              </w:rPr>
            </w:pPr>
            <w:r w:rsidRPr="00491CB9">
              <w:rPr>
                <w:rStyle w:val="SubtleEmphasis"/>
              </w:rPr>
              <w:t xml:space="preserve">1. </w:t>
            </w:r>
            <w:proofErr w:type="spellStart"/>
            <w:proofErr w:type="gramStart"/>
            <w:r w:rsidRPr="00491CB9">
              <w:rPr>
                <w:rStyle w:val="SubtleEmphasis"/>
                <w:rFonts w:ascii="Sylfaen" w:hAnsi="Sylfaen" w:cs="Sylfaen"/>
              </w:rPr>
              <w:t>პროგრამაში</w:t>
            </w:r>
            <w:proofErr w:type="spellEnd"/>
            <w:proofErr w:type="gram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მონაწილეობის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მისაღებად</w:t>
            </w:r>
            <w:proofErr w:type="spellEnd"/>
            <w:r w:rsidRPr="00491CB9">
              <w:rPr>
                <w:rStyle w:val="SubtleEmphasis"/>
              </w:rPr>
              <w:t>,  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იშვიათი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გამონაკლისის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გარდა</w:t>
            </w:r>
            <w:proofErr w:type="spellEnd"/>
            <w:r w:rsidRPr="00491CB9">
              <w:rPr>
                <w:rStyle w:val="SubtleEmphasis"/>
              </w:rPr>
              <w:t xml:space="preserve">,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ბენეფიციარი</w:t>
            </w:r>
            <w:proofErr w:type="spellEnd"/>
            <w:r w:rsidRPr="00491CB9">
              <w:rPr>
                <w:rStyle w:val="SubtleEmphasis"/>
              </w:rPr>
              <w:t xml:space="preserve"> 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უნდა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იყოს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რეგისტრირებული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სოციალურად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დაუცველი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ოჯახების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მონაცემთა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ერთიან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ბაზაში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და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სარეიტინგო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ქულა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არ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უნდა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აღემატებოდეს</w:t>
            </w:r>
            <w:proofErr w:type="spellEnd"/>
            <w:r w:rsidRPr="00491CB9">
              <w:rPr>
                <w:rStyle w:val="SubtleEmphasis"/>
              </w:rPr>
              <w:t xml:space="preserve"> 120 000-</w:t>
            </w:r>
            <w:r w:rsidRPr="00491CB9">
              <w:rPr>
                <w:rStyle w:val="SubtleEmphasis"/>
                <w:rFonts w:ascii="Sylfaen" w:hAnsi="Sylfaen" w:cs="Sylfaen"/>
              </w:rPr>
              <w:t>ს</w:t>
            </w:r>
            <w:r w:rsidRPr="00491CB9">
              <w:rPr>
                <w:rStyle w:val="SubtleEmphasis"/>
              </w:rPr>
              <w:t>.</w:t>
            </w:r>
          </w:p>
          <w:p w:rsidR="00491CB9" w:rsidRDefault="00491CB9" w:rsidP="00F67E3D">
            <w:pPr>
              <w:jc w:val="both"/>
              <w:rPr>
                <w:rStyle w:val="SubtleEmphasis"/>
              </w:rPr>
            </w:pPr>
          </w:p>
          <w:p w:rsidR="00491CB9" w:rsidRDefault="00491CB9" w:rsidP="00F67E3D">
            <w:pPr>
              <w:jc w:val="both"/>
              <w:rPr>
                <w:rStyle w:val="SubtleEmphasis"/>
              </w:rPr>
            </w:pPr>
            <w:r w:rsidRPr="00491CB9">
              <w:rPr>
                <w:rStyle w:val="SubtleEmphasis"/>
              </w:rPr>
              <w:t xml:space="preserve">2.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ბენეფიციართა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შერჩევისას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თანაბარი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ქულის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ქონის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შემთხვევაში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უპირატესობა</w:t>
            </w:r>
            <w:proofErr w:type="spellEnd"/>
            <w:r w:rsidRPr="00491CB9">
              <w:rPr>
                <w:rStyle w:val="SubtleEmphasis"/>
              </w:rPr>
              <w:t xml:space="preserve"> </w:t>
            </w:r>
            <w:proofErr w:type="spellStart"/>
            <w:r w:rsidRPr="00491CB9">
              <w:rPr>
                <w:rStyle w:val="SubtleEmphasis"/>
                <w:rFonts w:ascii="Sylfaen" w:hAnsi="Sylfaen" w:cs="Sylfaen"/>
              </w:rPr>
              <w:t>ენიჭება</w:t>
            </w:r>
            <w:proofErr w:type="spellEnd"/>
            <w:r w:rsidRPr="00491CB9">
              <w:rPr>
                <w:rStyle w:val="SubtleEmphasis"/>
              </w:rPr>
              <w:t>:</w:t>
            </w:r>
          </w:p>
          <w:p w:rsidR="00491CB9" w:rsidRPr="00491CB9" w:rsidRDefault="00491CB9" w:rsidP="00F67E3D">
            <w:pPr>
              <w:jc w:val="both"/>
              <w:rPr>
                <w:rStyle w:val="SubtleEmphasis"/>
              </w:rPr>
            </w:pP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საპენსიო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ასაკს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;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ბ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ოჯახის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შრომისუუნარო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წევრ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ებ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)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შშმ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პირი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ყოლას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;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დედ</w:t>
            </w:r>
            <w:r w:rsidRPr="00EE5273">
              <w:rPr>
                <w:rStyle w:val="SubtleEmphasis"/>
                <w:b/>
                <w:color w:val="0070C0"/>
              </w:rPr>
              <w:t>-</w:t>
            </w: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მამით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ობოლ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ბავშვებს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;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საქართველოს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ტერიტორიული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მთლიანობისათვის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დაღუპული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ოჯახების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წევრებს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;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ე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გარდაცვლილი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სამხედრო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მოსამსახურის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ოჯახის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წევრებს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;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ვ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proofErr w:type="gram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იშვიათი</w:t>
            </w:r>
            <w:proofErr w:type="spellEnd"/>
            <w:proofErr w:type="gram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გამონაკლისის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სოციალურ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სააგენტოში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არ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უფიქსირდება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სარეიტინგო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ქულა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ან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120 000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ქულაზე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მეტია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შემთხვევაში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, „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სოციალურად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დაუცველი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მოსახლეობის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კვებით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უზრუნველყოფის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“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განმახორციელებელი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</w:t>
            </w:r>
            <w:r w:rsidRPr="00EE5273">
              <w:rPr>
                <w:rStyle w:val="SubtleEmphasis"/>
                <w:b/>
                <w:color w:val="0070C0"/>
              </w:rPr>
              <w:t>(</w:t>
            </w: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</w:t>
            </w:r>
            <w:r w:rsidRPr="00EE5273">
              <w:rPr>
                <w:rStyle w:val="SubtleEmphasis"/>
                <w:b/>
                <w:color w:val="0070C0"/>
              </w:rPr>
              <w:t>)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იპ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,,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წალენჯიხის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სათნოების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სახლის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“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დირექტორი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გადაწყვეტს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მოქალაქის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ბენეფიციარად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დარეგისტირებას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,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მერიის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წარმომადგენლის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შესაბამის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ადმინისტრაციულ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ერთეულში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წერილობითი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შუამდგომლობის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საფუძველზე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>.</w:t>
            </w: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  <w:color w:val="0070C0"/>
              </w:rPr>
            </w:pP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ზ</w:t>
            </w:r>
            <w:r w:rsidRPr="00EE5273">
              <w:rPr>
                <w:rStyle w:val="SubtleEmphasis"/>
                <w:b/>
                <w:color w:val="0070C0"/>
              </w:rPr>
              <w:t xml:space="preserve">) </w:t>
            </w:r>
            <w:proofErr w:type="spellStart"/>
            <w:proofErr w:type="gram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ამ</w:t>
            </w:r>
            <w:proofErr w:type="spellEnd"/>
            <w:proofErr w:type="gram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პუნქტის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„</w:t>
            </w: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ვ</w:t>
            </w:r>
            <w:r w:rsidRPr="00EE5273">
              <w:rPr>
                <w:rStyle w:val="SubtleEmphasis"/>
                <w:b/>
                <w:color w:val="0070C0"/>
              </w:rPr>
              <w:t xml:space="preserve">“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ქვეპუნქტით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გათვალისწინებული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კატეგორიის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 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ბენეფიციართა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 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რაოდენობა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არ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უნდა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აჭარბებდეს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ამ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პროგრამით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მოსარგებლეთა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საერთო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რაოდენობის</w:t>
            </w:r>
            <w:proofErr w:type="spellEnd"/>
            <w:r w:rsidRPr="00EE5273">
              <w:rPr>
                <w:rStyle w:val="SubtleEmphasis"/>
                <w:b/>
                <w:color w:val="0070C0"/>
              </w:rPr>
              <w:t xml:space="preserve"> 10%-</w:t>
            </w:r>
            <w:r w:rsidRPr="00EE5273">
              <w:rPr>
                <w:rStyle w:val="SubtleEmphasis"/>
                <w:rFonts w:ascii="Sylfaen" w:hAnsi="Sylfaen" w:cs="Sylfaen"/>
                <w:b/>
                <w:color w:val="0070C0"/>
              </w:rPr>
              <w:t>ს</w:t>
            </w:r>
            <w:r w:rsidRPr="00EE5273">
              <w:rPr>
                <w:rStyle w:val="SubtleEmphasis"/>
                <w:b/>
                <w:color w:val="0070C0"/>
              </w:rPr>
              <w:t>.</w:t>
            </w:r>
          </w:p>
          <w:p w:rsidR="00EE5273" w:rsidRPr="00491CB9" w:rsidRDefault="00EE5273" w:rsidP="00F67E3D">
            <w:pPr>
              <w:jc w:val="both"/>
              <w:rPr>
                <w:rStyle w:val="SubtleEmphasis"/>
              </w:rPr>
            </w:pPr>
          </w:p>
          <w:p w:rsidR="00491CB9" w:rsidRPr="00EE5273" w:rsidRDefault="00491CB9" w:rsidP="00F67E3D">
            <w:pPr>
              <w:jc w:val="both"/>
              <w:rPr>
                <w:rStyle w:val="SubtleEmphasis"/>
                <w:b/>
              </w:rPr>
            </w:pPr>
            <w:r w:rsidRPr="00491CB9">
              <w:rPr>
                <w:rStyle w:val="SubtleEmphasis"/>
              </w:rPr>
              <w:t xml:space="preserve">3. </w:t>
            </w:r>
            <w:proofErr w:type="spellStart"/>
            <w:proofErr w:type="gramStart"/>
            <w:r w:rsidRPr="00EE5273">
              <w:rPr>
                <w:rStyle w:val="SubtleEmphasis"/>
                <w:rFonts w:ascii="Sylfaen" w:hAnsi="Sylfaen" w:cs="Sylfaen"/>
                <w:b/>
              </w:rPr>
              <w:t>პროგრამის</w:t>
            </w:r>
            <w:proofErr w:type="spellEnd"/>
            <w:proofErr w:type="gram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განხორციელებას</w:t>
            </w:r>
            <w:proofErr w:type="spellEnd"/>
            <w:r w:rsidRPr="00EE5273">
              <w:rPr>
                <w:rStyle w:val="SubtleEmphasis"/>
                <w:b/>
              </w:rPr>
              <w:t xml:space="preserve"> 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განცხადების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მიღება</w:t>
            </w:r>
            <w:proofErr w:type="spellEnd"/>
            <w:r w:rsidRPr="00EE5273">
              <w:rPr>
                <w:rStyle w:val="SubtleEmphasis"/>
                <w:b/>
              </w:rPr>
              <w:t xml:space="preserve">,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ბენეფიციართა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შერჩევა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და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სხვა</w:t>
            </w:r>
            <w:proofErr w:type="spellEnd"/>
            <w:r w:rsidRPr="00EE5273">
              <w:rPr>
                <w:rStyle w:val="SubtleEmphasis"/>
                <w:b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სამოქმედო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ტერიტორიაზე</w:t>
            </w:r>
            <w:proofErr w:type="spellEnd"/>
            <w:r w:rsidRPr="00EE5273">
              <w:rPr>
                <w:rStyle w:val="SubtleEmphasis"/>
                <w:b/>
              </w:rPr>
              <w:t xml:space="preserve"> 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ქ</w:t>
            </w:r>
            <w:r w:rsidRPr="00EE5273">
              <w:rPr>
                <w:rStyle w:val="SubtleEmphasis"/>
                <w:b/>
              </w:rPr>
              <w:t>.</w:t>
            </w:r>
            <w:r w:rsidRPr="00EE5273">
              <w:rPr>
                <w:rStyle w:val="SubtleEmphasis"/>
                <w:rFonts w:ascii="Sylfaen" w:hAnsi="Sylfaen" w:cs="Sylfaen"/>
                <w:b/>
              </w:rPr>
              <w:t>ჯვარი</w:t>
            </w:r>
            <w:proofErr w:type="spellEnd"/>
            <w:r w:rsidRPr="00EE5273">
              <w:rPr>
                <w:rStyle w:val="SubtleEmphasis"/>
                <w:b/>
              </w:rPr>
              <w:t xml:space="preserve">,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ქ</w:t>
            </w:r>
            <w:r w:rsidRPr="00EE5273">
              <w:rPr>
                <w:rStyle w:val="SubtleEmphasis"/>
                <w:b/>
              </w:rPr>
              <w:t>.</w:t>
            </w:r>
            <w:r w:rsidRPr="00EE5273">
              <w:rPr>
                <w:rStyle w:val="SubtleEmphasis"/>
                <w:rFonts w:ascii="Sylfaen" w:hAnsi="Sylfaen" w:cs="Sylfaen"/>
                <w:b/>
              </w:rPr>
              <w:t>წალენჯიხა</w:t>
            </w:r>
            <w:proofErr w:type="spellEnd"/>
            <w:r w:rsidRPr="00EE5273">
              <w:rPr>
                <w:rStyle w:val="SubtleEmphasis"/>
                <w:b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უზრუნველყოფს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წალენჯიხის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მუნიციპალიტეტის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კერძო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სამართლის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არასამეწარმეო</w:t>
            </w:r>
            <w:proofErr w:type="spellEnd"/>
            <w:r w:rsidRPr="00EE5273">
              <w:rPr>
                <w:rStyle w:val="SubtleEmphasis"/>
                <w:b/>
              </w:rPr>
              <w:t xml:space="preserve"> (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არაკომერციული</w:t>
            </w:r>
            <w:proofErr w:type="spellEnd"/>
            <w:r w:rsidRPr="00EE5273">
              <w:rPr>
                <w:rStyle w:val="SubtleEmphasis"/>
                <w:b/>
              </w:rPr>
              <w:t xml:space="preserve">)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იურიდიული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პირი</w:t>
            </w:r>
            <w:proofErr w:type="spellEnd"/>
            <w:r w:rsidRPr="00EE5273">
              <w:rPr>
                <w:rStyle w:val="SubtleEmphasis"/>
                <w:b/>
              </w:rPr>
              <w:t xml:space="preserve"> ,,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წალენჯიხის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სათნოების</w:t>
            </w:r>
            <w:proofErr w:type="spellEnd"/>
            <w:r w:rsidRPr="00EE5273">
              <w:rPr>
                <w:rStyle w:val="SubtleEmphasis"/>
                <w:b/>
              </w:rPr>
              <w:t xml:space="preserve"> </w:t>
            </w:r>
            <w:proofErr w:type="spellStart"/>
            <w:r w:rsidRPr="00EE5273">
              <w:rPr>
                <w:rStyle w:val="SubtleEmphasis"/>
                <w:rFonts w:ascii="Sylfaen" w:hAnsi="Sylfaen" w:cs="Sylfaen"/>
                <w:b/>
              </w:rPr>
              <w:t>სახლი</w:t>
            </w:r>
            <w:proofErr w:type="spellEnd"/>
            <w:r w:rsidRPr="00EE5273">
              <w:rPr>
                <w:rStyle w:val="SubtleEmphasis"/>
                <w:b/>
              </w:rPr>
              <w:t>“.</w:t>
            </w:r>
          </w:p>
          <w:p w:rsidR="00491CB9" w:rsidRPr="00491CB9" w:rsidRDefault="00491CB9" w:rsidP="00F67E3D">
            <w:pPr>
              <w:jc w:val="both"/>
              <w:rPr>
                <w:rStyle w:val="SubtleEmphasis"/>
              </w:rPr>
            </w:pPr>
            <w:r w:rsidRPr="00491CB9">
              <w:rPr>
                <w:rStyle w:val="SubtleEmphasis"/>
              </w:rPr>
              <w:t xml:space="preserve"> </w:t>
            </w:r>
          </w:p>
        </w:tc>
      </w:tr>
    </w:tbl>
    <w:p w:rsidR="00AC5224" w:rsidRDefault="00AC5224">
      <w:bookmarkStart w:id="0" w:name="_GoBack"/>
      <w:bookmarkEnd w:id="0"/>
    </w:p>
    <w:sectPr w:rsidR="00AC52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CB9"/>
    <w:rsid w:val="00491CB9"/>
    <w:rsid w:val="00AC5224"/>
    <w:rsid w:val="00EE5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37B518"/>
  <w15:chartTrackingRefBased/>
  <w15:docId w15:val="{22013185-968C-4FF7-A4C6-A8B5C78A17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1CB9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Emphasis">
    <w:name w:val="Subtle Emphasis"/>
    <w:basedOn w:val="DefaultParagraphFont"/>
    <w:uiPriority w:val="19"/>
    <w:qFormat/>
    <w:rsid w:val="00491CB9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1177</Characters>
  <Application>Microsoft Office Word</Application>
  <DocSecurity>0</DocSecurity>
  <Lines>9</Lines>
  <Paragraphs>2</Paragraphs>
  <ScaleCrop>false</ScaleCrop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Khatuna Ghvinjilia</dc:creator>
  <cp:keywords/>
  <dc:description/>
  <cp:lastModifiedBy>Khatuna Ghvinjilia</cp:lastModifiedBy>
  <cp:revision>3</cp:revision>
  <dcterms:created xsi:type="dcterms:W3CDTF">2023-02-06T11:28:00Z</dcterms:created>
  <dcterms:modified xsi:type="dcterms:W3CDTF">2023-02-07T09:14:00Z</dcterms:modified>
</cp:coreProperties>
</file>